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b050"/>
          <w:sz w:val="20"/>
          <w:szCs w:val="20"/>
          <w:rtl w:val="1"/>
        </w:rPr>
        <w:t xml:space="preserve">الرياضيات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38562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2"/>
          <w:szCs w:val="12"/>
          <w:rtl w:val="0"/>
        </w:rPr>
        <w:t xml:space="preserve">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الاقترانات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ية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واللوغاريتمية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5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6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9"/>
        <w:gridCol w:w="2345"/>
        <w:gridCol w:w="1890"/>
        <w:gridCol w:w="3870"/>
        <w:gridCol w:w="2520"/>
        <w:gridCol w:w="1260"/>
        <w:gridCol w:w="1614"/>
        <w:tblGridChange w:id="0">
          <w:tblGrid>
            <w:gridCol w:w="1449"/>
            <w:gridCol w:w="2345"/>
            <w:gridCol w:w="1890"/>
            <w:gridCol w:w="3870"/>
            <w:gridCol w:w="2520"/>
            <w:gridCol w:w="1260"/>
            <w:gridCol w:w="1614"/>
          </w:tblGrid>
        </w:tblGridChange>
      </w:tblGrid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الاقترانات</w:t>
            </w:r>
            <w:r w:rsidDel="00000000" w:rsidR="00000000" w:rsidRPr="00000000">
              <w:rPr>
                <w:rFonts w:ascii="LoewNextArabic-Heavy" w:cs="LoewNextArabic-Heavy" w:eastAsia="LoewNextArabic-Heavy" w:hAnsi="LoewNextArabic-Heavy"/>
                <w:i w:val="1"/>
                <w:color w:val="08256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ية</w:t>
            </w:r>
            <w:r w:rsidDel="00000000" w:rsidR="00000000" w:rsidRPr="00000000">
              <w:rPr>
                <w:rFonts w:ascii="LoewNextArabic-Heavy" w:cs="LoewNextArabic-Heavy" w:eastAsia="LoewNextArabic-Heavy" w:hAnsi="LoewNextArabic-Heavy"/>
                <w:i w:val="1"/>
                <w:color w:val="08256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واللوغاريتمية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@ü/Ã˛" w:cs="@ü/Ã˛" w:eastAsia="@ü/Ã˛" w:hAnsi="@ü/Ã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والاضمحلال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اللوغاريتمية</w:t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قوانين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5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المعادلات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rPr>
                <w:rFonts w:ascii="ÜÙG ˛" w:cs="ÜÙG ˛" w:eastAsia="ÜÙG ˛" w:hAnsi="ÜÙG ˛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@ü/Ã˛" w:cs="@ü/Ã˛" w:eastAsia="@ü/Ã˛" w:hAnsi="@ü/Ã˛"/>
                <w:i w:val="1"/>
                <w:color w:val="00599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اخ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ُ</w:t>
            </w:r>
            <w:r w:rsidDel="00000000" w:rsidR="00000000" w:rsidRPr="00000000">
              <w:rPr>
                <w:rFonts w:ascii="Lotus-Bold" w:cs="Lotus-Bold" w:eastAsia="Lotus-Bold" w:hAnsi="Lotus-Bold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عامل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الاضمحلال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عامل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الاضمحلال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الربح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،</w:t>
            </w:r>
          </w:p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الأساس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الطبيعي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الطبيعي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الربح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رك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للأساس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الاعتيادي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الطبيعي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خاصية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المساواة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اللوغاريتمية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مك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بإنشاء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جدول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تعيين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الأزواج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رت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بة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الناتجة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الجدول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المستوى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الإحداثي</w:t>
            </w:r>
          </w:p>
          <w:p w:rsidR="00000000" w:rsidDel="00000000" w:rsidP="00000000" w:rsidRDefault="00000000" w:rsidRPr="00000000" w14:paraId="00000026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تنطبق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خصائص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الاعتيادي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واللوغاريتم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الطبيعي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مك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ن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استعمالها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لإيجاد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ٍّ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منهما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الحلول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ومناقشتها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سليمة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روح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المبادرة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التنظيم</w:t>
            </w:r>
          </w:p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الدقة</w:t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الترتيب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والمساندة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الإثرائية</w:t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قصير</w:t>
            </w:r>
          </w:p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تحصيلي</w:t>
            </w:r>
          </w:p>
        </w:tc>
      </w:tr>
    </w:tbl>
    <w:p w:rsidR="00000000" w:rsidDel="00000000" w:rsidP="00000000" w:rsidRDefault="00000000" w:rsidRPr="00000000" w14:paraId="00000045">
      <w:pPr>
        <w:jc w:val="right"/>
        <w:rPr/>
      </w:pPr>
      <w:r w:rsidDel="00000000" w:rsidR="00000000" w:rsidRPr="00000000">
        <w:rPr>
          <w:rFonts w:ascii="ÜÙG ˛" w:cs="ÜÙG ˛" w:eastAsia="ÜÙG ˛" w:hAnsi="ÜÙG ˛"/>
          <w:b w:val="1"/>
          <w:i w:val="1"/>
          <w:rtl w:val="0"/>
        </w:rPr>
        <w:t xml:space="preserve">Form # QF71 – 47  rev.a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ÜÙG ˛" w:cs="ÜÙG ˛" w:eastAsia="ÜÙG ˛" w:hAnsi="ÜÙG ˛"/>
          <w:b w:val="1"/>
          <w:i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b w:val="1"/>
          <w:i w:val="1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bidi w:val="1"/>
        <w:spacing w:after="240" w:before="240" w:lineRule="auto"/>
        <w:jc w:val="both"/>
        <w:rPr>
          <w:rFonts w:ascii="ÜÙG ˛" w:cs="ÜÙG ˛" w:eastAsia="ÜÙG ˛" w:hAnsi="ÜÙG ˛"/>
          <w:b w:val="1"/>
          <w:i w:val="1"/>
          <w:sz w:val="22"/>
          <w:szCs w:val="22"/>
        </w:rPr>
      </w:pPr>
      <w:r w:rsidDel="00000000" w:rsidR="00000000" w:rsidRPr="00000000">
        <w:rPr>
          <w:rFonts w:ascii="ÜÙG ˛" w:cs="ÜÙG ˛" w:eastAsia="ÜÙG ˛" w:hAnsi="ÜÙG ˛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bidi w:val="1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b050"/>
          <w:sz w:val="20"/>
          <w:szCs w:val="20"/>
          <w:rtl w:val="1"/>
        </w:rPr>
        <w:t xml:space="preserve">الرياضيات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38562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2"/>
          <w:szCs w:val="12"/>
          <w:rtl w:val="0"/>
        </w:rPr>
        <w:t xml:space="preserve">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التفاضل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52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89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  <w:tblGridChange w:id="0">
          <w:tblGrid>
            <w:gridCol w:w="1184"/>
            <w:gridCol w:w="2610"/>
            <w:gridCol w:w="1890"/>
            <w:gridCol w:w="3870"/>
            <w:gridCol w:w="2520"/>
            <w:gridCol w:w="1260"/>
            <w:gridCol w:w="1614"/>
          </w:tblGrid>
        </w:tblGridChange>
      </w:tblGrid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التفاضل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السلسلة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@ü/Ã˛" w:cs="@ü/Ã˛" w:eastAsia="@ü/Ã˛" w:hAnsi="@ü/Ã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مشتقتا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الضرب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والقسمة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مشتقتا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الطبيعي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اللوغاريتمي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الطبيعي</w:t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00000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e6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مشتقتا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الجيب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جيب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التمام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rPr>
                <w:rFonts w:ascii="ÜÙG ˛" w:cs="ÜÙG ˛" w:eastAsia="ÜÙG ˛" w:hAnsi="ÜÙG ˛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>
                <w:rFonts w:ascii="@ü/Ã˛" w:cs="@ü/Ã˛" w:eastAsia="@ü/Ã˛" w:hAnsi="@ü/Ã˛"/>
                <w:i w:val="1"/>
                <w:color w:val="00599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اخ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ُ</w:t>
            </w:r>
            <w:r w:rsidDel="00000000" w:rsidR="00000000" w:rsidRPr="00000000">
              <w:rPr>
                <w:rFonts w:ascii="Lotus-Bold" w:cs="Lotus-Bold" w:eastAsia="Lotus-Bold" w:hAnsi="Lotus-Bold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السلسلة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سلسلة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القو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تغي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الوسيط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المثلثي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اقترانين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قابلين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للاشتقاق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مضروب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يضاف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مضروب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</w:t>
            </w:r>
          </w:p>
          <w:p w:rsidR="00000000" w:rsidDel="00000000" w:rsidP="00000000" w:rsidRDefault="00000000" w:rsidRPr="00000000" w14:paraId="0000006D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قسمة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اقترانين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قابلين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للاشتقاق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المقام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البسط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مطروح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البسط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المقام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قسمة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الجميع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مربع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المقام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..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مقلوب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قابل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للاشتقاق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سالب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مقسوم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</w:p>
          <w:p w:rsidR="00000000" w:rsidDel="00000000" w:rsidP="00000000" w:rsidRDefault="00000000" w:rsidRPr="00000000" w14:paraId="00000073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مربع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spacing w:line="276" w:lineRule="auto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الحلول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ومناقشتها</w:t>
            </w:r>
          </w:p>
          <w:p w:rsidR="00000000" w:rsidDel="00000000" w:rsidP="00000000" w:rsidRDefault="00000000" w:rsidRPr="00000000" w14:paraId="00000076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سليمة</w:t>
            </w:r>
          </w:p>
          <w:p w:rsidR="00000000" w:rsidDel="00000000" w:rsidP="00000000" w:rsidRDefault="00000000" w:rsidRPr="00000000" w14:paraId="00000078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روح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المبادرة</w:t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التنظيم</w:t>
            </w:r>
          </w:p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الدقة</w:t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الترتيب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والمساندة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الإثرائية</w:t>
            </w:r>
          </w:p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قصير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تحصيلي</w:t>
            </w:r>
          </w:p>
        </w:tc>
      </w:tr>
    </w:tbl>
    <w:p w:rsidR="00000000" w:rsidDel="00000000" w:rsidP="00000000" w:rsidRDefault="00000000" w:rsidRPr="00000000" w14:paraId="00000090">
      <w:pPr>
        <w:bidi w:val="1"/>
        <w:ind w:right="-851"/>
        <w:rPr>
          <w:rFonts w:ascii="Sakkal Majalla" w:cs="Sakkal Majalla" w:eastAsia="Sakkal Majalla" w:hAnsi="Sakkal Majal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Fonts w:ascii="ÜÙG ˛" w:cs="ÜÙG ˛" w:eastAsia="ÜÙG ˛" w:hAnsi="ÜÙG ˛"/>
          <w:b w:val="1"/>
          <w:i w:val="1"/>
          <w:rtl w:val="0"/>
        </w:rPr>
        <w:t xml:space="preserve">Form # QF71 – 47  rev.a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jc w:val="center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b050"/>
          <w:sz w:val="20"/>
          <w:szCs w:val="20"/>
          <w:rtl w:val="1"/>
        </w:rPr>
        <w:t xml:space="preserve">الرياضيات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12"/>
          <w:szCs w:val="12"/>
          <w:rtl w:val="0"/>
        </w:rPr>
        <w:t xml:space="preserve">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تطبيقات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color w:val="ff0000"/>
          <w:sz w:val="28"/>
          <w:szCs w:val="28"/>
          <w:rtl w:val="1"/>
        </w:rPr>
        <w:t xml:space="preserve">التفاضل</w:t>
      </w:r>
      <w:r w:rsidDel="00000000" w:rsidR="00000000" w:rsidRPr="00000000">
        <w:rPr>
          <w:rFonts w:ascii="LoewNextArabic-Heavy" w:cs="LoewNextArabic-Heavy" w:eastAsia="LoewNextArabic-Heavy" w:hAnsi="LoewNextArabic-Heavy"/>
          <w:i w:val="1"/>
          <w:color w:val="08256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rFonts w:ascii="ÜÙG ˛" w:cs="ÜÙG ˛" w:eastAsia="ÜÙG ˛" w:hAnsi="ÜÙG ˛"/>
          <w:i w:val="1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90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124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7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"/>
        <w:gridCol w:w="1985"/>
        <w:gridCol w:w="2334"/>
        <w:gridCol w:w="3779"/>
        <w:gridCol w:w="2340"/>
        <w:gridCol w:w="1530"/>
        <w:gridCol w:w="1710"/>
        <w:tblGridChange w:id="0">
          <w:tblGrid>
            <w:gridCol w:w="1075"/>
            <w:gridCol w:w="1985"/>
            <w:gridCol w:w="2334"/>
            <w:gridCol w:w="3779"/>
            <w:gridCol w:w="2340"/>
            <w:gridCol w:w="1530"/>
            <w:gridCol w:w="171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والمصطلحات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والتعميمات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والاتجاهات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الثانية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LoewNextArabic-Heavy" w:cs="LoewNextArabic-Heavy" w:eastAsia="LoewNextArabic-Heavy" w:hAnsi="LoewNextArabic-Heavy"/>
                <w:i w:val="1"/>
                <w:color w:val="08256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التفاضل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المماس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والعمودي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المماس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والسرعة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المتجهة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والتسارع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القصوى</w:t>
            </w:r>
          </w:p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الد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َّ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rtl w:val="1"/>
              </w:rPr>
              <w:t xml:space="preserve">ُ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color w:val="e60000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الاشتقاق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الضمني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والم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لات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المرتبطة</w:t>
            </w:r>
          </w:p>
          <w:p w:rsidR="00000000" w:rsidDel="00000000" w:rsidP="00000000" w:rsidRDefault="00000000" w:rsidRPr="00000000" w14:paraId="000000AC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rPr>
                <w:rFonts w:ascii="ÜÙG ˛" w:cs="ÜÙG ˛" w:eastAsia="ÜÙG ˛" w:hAnsi="ÜÙG ˛"/>
                <w:i w:val="1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اخ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ُ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ال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و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ْ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َ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00b050"/>
                <w:rtl w:val="1"/>
              </w:rPr>
              <w:t xml:space="preserve">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المماس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العمودي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المماس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الموقع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السرعة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المتجهة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التسارع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المشتقة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التكلفة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التكلفة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الإيراد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الإيراد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الربح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،</w:t>
            </w:r>
          </w:p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الربح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bidi w:val="1"/>
              <w:rPr>
                <w:rFonts w:ascii="Lotus-Light" w:cs="Lotus-Light" w:eastAsia="Lotus-Light" w:hAnsi="Lotus-Ligh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دراسة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جسم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يتحر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مستقيم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أفترض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يتحر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أعداد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انطلاق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موقع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ابتدائي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وأن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اتجاه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حركته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موجب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سالب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وأن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Lotus-Bold" w:cs="Lotus-Bold" w:eastAsia="Lotus-Bold" w:hAnsi="Lotus-Bold"/>
                <w:b w:val="1"/>
                <w:i w:val="1"/>
                <w:sz w:val="28"/>
                <w:szCs w:val="28"/>
                <w:rtl w:val="1"/>
              </w:rPr>
              <w:t xml:space="preserve">موقع</w:t>
            </w:r>
            <w:r w:rsidDel="00000000" w:rsidR="00000000" w:rsidRPr="00000000">
              <w:rPr>
                <w:rFonts w:ascii="Lotus-Bold" w:cs="Lotus-Bold" w:eastAsia="Lotus-Bold" w:hAnsi="Lotus-Bold"/>
                <w:b w:val="1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الجسم</w:t>
            </w:r>
          </w:p>
          <w:p w:rsidR="00000000" w:rsidDel="00000000" w:rsidP="00000000" w:rsidRDefault="00000000" w:rsidRPr="00000000" w14:paraId="000000B8">
            <w:pPr>
              <w:bidi w:val="1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بالنسبة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نقطة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الأصل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مث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اقتران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بالنسبة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الزمن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Lotus-Light" w:cs="Lotus-Light" w:eastAsia="Lotus-Light" w:hAnsi="Lotus-Light"/>
                <w:i w:val="1"/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النشاطات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الحلول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ومناقشتها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التحدث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وبلغة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سليمة</w:t>
            </w:r>
          </w:p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الخطوات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والترتيب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لحل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الوحدة</w:t>
            </w:r>
          </w:p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الايجابية</w:t>
            </w:r>
          </w:p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اليومية</w:t>
            </w:r>
          </w:p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المحبة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احترام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حب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واستخدامه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اليومية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والمسائل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والتمارين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color w:val="ff0000"/>
                <w:sz w:val="28"/>
                <w:szCs w:val="28"/>
                <w:rtl w:val="1"/>
              </w:rPr>
              <w:t xml:space="preserve">والمساندة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الإثرائية</w:t>
            </w:r>
          </w:p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قصير</w:t>
            </w:r>
          </w:p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ÜÙG ˛" w:cs="ÜÙG ˛" w:eastAsia="ÜÙG ˛" w:hAnsi="ÜÙG ˛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ÜÙG ˛" w:cs="ÜÙG ˛" w:eastAsia="ÜÙG ˛" w:hAnsi="ÜÙG ˛"/>
                <w:i w:val="1"/>
                <w:sz w:val="28"/>
                <w:szCs w:val="28"/>
                <w:rtl w:val="1"/>
              </w:rPr>
              <w:t xml:space="preserve">تحصيلي</w:t>
            </w:r>
          </w:p>
        </w:tc>
      </w:tr>
    </w:tbl>
    <w:p w:rsidR="00000000" w:rsidDel="00000000" w:rsidP="00000000" w:rsidRDefault="00000000" w:rsidRPr="00000000" w14:paraId="000000D2">
      <w:pPr>
        <w:bidi w:val="1"/>
        <w:ind w:right="-851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ind w:right="-851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right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Fonts w:ascii="ÜÙG ˛" w:cs="ÜÙG ˛" w:eastAsia="ÜÙG ˛" w:hAnsi="ÜÙG ˛"/>
          <w:b w:val="1"/>
          <w:i w:val="1"/>
          <w:rtl w:val="0"/>
        </w:rPr>
        <w:t xml:space="preserve">Form # QF71 – 47  rev.a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rFonts w:ascii="ÜÙG ˛" w:cs="ÜÙG ˛" w:eastAsia="ÜÙG ˛" w:hAnsi="ÜÙG ˛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8" w:top="1627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kkal Majalla"/>
  <w:font w:name="Comic Sans MS"/>
  <w:font w:name="Calibri"/>
  <w:font w:name="Times New Roman"/>
  <w:font w:name="Arial"/>
  <w:font w:name="Lotus-Bold"/>
  <w:font w:name="ÜÙG ˛"/>
  <w:font w:name="Lotus-Light"/>
  <w:font w:name="@ü/Ã˛"/>
  <w:font w:name="LoewNextArabic-Heav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تحليل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محتوى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رياضيات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للصف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الثاني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الثانوي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الأدبي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1"/>
      </w:rPr>
      <w:t xml:space="preserve"> 2022 -2023 </w:t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F27"/>
    <w:pPr>
      <w:bidi w:val="1"/>
    </w:pPr>
    <w:rPr>
      <w:rFonts w:ascii="Times New Roman" w:cs="Times New Roman" w:eastAsia="Times New Roman" w:hAnsi="Times New Roman"/>
      <w:i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D161F"/>
    <w:rPr>
      <w:rFonts w:ascii="Times New Roman" w:cs="Times New Roman" w:eastAsia="Times New Roman" w:hAnsi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ED161F"/>
    <w:rPr>
      <w:rFonts w:ascii="Times New Roman" w:cs="Times New Roman" w:eastAsia="Times New Roman" w:hAnsi="Times New Roman"/>
      <w:i w:val="0"/>
    </w:rPr>
  </w:style>
  <w:style w:type="paragraph" w:styleId="ListParagraph">
    <w:name w:val="List Paragraph"/>
    <w:basedOn w:val="Normal"/>
    <w:uiPriority w:val="34"/>
    <w:qFormat w:val="1"/>
    <w:rsid w:val="00ED161F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565D4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eZGi46cB7zkNG8ajWtP+Adl/vg==">AMUW2mXfTyntAo1O9BtHmgO6L2Sa/5hGOUgyAa7OTFJgUQX/eKQa24cyBCi8OmYGNyMutr7l9B/I9B3BAZtpAX6RtgVq8o8DO6r/jSlmj73mObT/SwNpS3s=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2021-08-17T13:06:00Z</dcterms:created>
  <dc:creator>esam shikh</dc:creator>
</cp:coreProperties>
</file>